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</w:t>
      </w:r>
      <w:r>
        <w:rPr/>
        <w:t>ПРОЕКТ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МЭРИЯ ГОРОДА ГРОЗНОГО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  <w:tab w:val="center" w:pos="481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tabs>
          <w:tab w:val="clear" w:pos="708"/>
          <w:tab w:val="left" w:pos="1508" w:leader="none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от _____________ 2022 года                                             </w:t>
      </w: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 xml:space="preserve"> № ________</w:t>
      </w:r>
    </w:p>
    <w:p>
      <w:pPr>
        <w:pStyle w:val="Normal"/>
        <w:tabs>
          <w:tab w:val="clear" w:pos="708"/>
          <w:tab w:val="left" w:pos="1920" w:leader="none"/>
          <w:tab w:val="left" w:pos="360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Грозный</w:t>
      </w:r>
    </w:p>
    <w:p>
      <w:pPr>
        <w:pStyle w:val="Normal"/>
        <w:tabs>
          <w:tab w:val="clear" w:pos="708"/>
          <w:tab w:val="left" w:pos="1920" w:leader="none"/>
          <w:tab w:val="left" w:pos="360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sz w:val="28"/>
          <w:szCs w:val="28"/>
        </w:rPr>
        <w:t>О создании Центра выявления и поддержки одаренных детей г. Грозного «Малая академия» и переименовании МБУ ДО «Станция детского (юношеского) технического творчества г. Грозного»</w:t>
        <w:tab/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    № 16, Указа Президента Российской Федерации от 21 июля 2020 года № 474 «О национальных целях развития Российской Федерации на период до 2030 года»,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г. Грозного, для создания условий организации системной работы по выявлению, поддержке и сопровождению одаренных детей на территории города Грозного: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Переименовать муниципальное бюджетное учреждение дополнительного образования «Станция детского (юношеского) технического творчества                г. Грозного» (МБУ ДО «СДЮТТ г. Грозного») в муниципальное бюджетное учреждение дополнительного образования «Центр развития детского (юношеского) технического творчества» г. Грозного (МБУ ДО «ЦРДЮТТ»          г. Грозного).</w:t>
      </w:r>
    </w:p>
    <w:p>
      <w:pPr>
        <w:pStyle w:val="Normal"/>
        <w:tabs>
          <w:tab w:val="clear" w:pos="708"/>
          <w:tab w:val="left" w:pos="744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Создать на базе муниципального бюджетного учреждения дополнительного образования «Центр развития детского (юношеского) технического творчества» г. Грозного Центр выявления и поддержки одаренных детей г. Грозного «Малая академия» (далее – Центр) и утвердить положение о Центре выявления и поддержки одаренных детей г. Грозного «Малая академия» согласно приложению к настоящему распоряжению.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sz w:val="28"/>
          <w:szCs w:val="28"/>
        </w:rPr>
        <w:tab/>
        <w:t>3.  Комитету имущественных и земельных отношений Мэрии г. Грозного: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3.1 прекратить право оперативного управления МБОУ «СОШ № 48»                  г. Грозного на здание, находящееся по адресу: г. Грозный, ул. Миусская, 3;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передать в оперативное управление муниципальному бюджетному учреждению дополнительного образования «Центр развития детского (юношеского) технического творчества» г. Грозного здание, находящееся по адресу: г. Грозный, ул. Миусская, 3;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3.3 внести соответствующие изменения в реестр муниципального имущества города Грозного.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4.  Департаменту образования Мэрии г. Грозного: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внести необходимые изменения в штатное расписание МБУ ДО «Центр развития детского (юношеского) технического творчества» г. Грозного путем перераспределения имеющихся штатных единиц;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в месячный срок разработать и утвердить Устав МБУ ДО «Центр развития детского (юношеского) технического творчества» г. Грозного в новой редакции, с учетом вносимых изменений в структуру данной образовательной организации, предварительно согласовав его в части имущества с Комитетом имущественных и земельных отношений Мэрии города Грозного.</w:t>
      </w:r>
    </w:p>
    <w:p>
      <w:pPr>
        <w:pStyle w:val="Normal"/>
        <w:spacing w:lineRule="auto" w:line="27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 Департаменту финансов Мэрии города Грозного осуществлять финансовое обеспечение деятельности Центра в пределах объемов бюджетных ассигнований, предусмотренных на муниципальное бюджетное учреждение дополнительного образования «Станция детского (юношеского) технического творчества г. Грозного».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распоряжения возложить на заместителя Мэра – начальника Департамента образования Мэрии г. Грозного Ахматова З.М.</w:t>
      </w:r>
    </w:p>
    <w:p>
      <w:pPr>
        <w:pStyle w:val="Normal"/>
        <w:spacing w:lineRule="auto" w:line="27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2"/>
          <w:sz w:val="28"/>
          <w:szCs w:val="28"/>
        </w:rPr>
        <w:t xml:space="preserve">Настоящее распоряжение вступает в силу со дня его подписания, подлежит опубликованию в газете «Столица </w:t>
      </w:r>
      <w:r>
        <w:rPr>
          <w:spacing w:val="-2"/>
          <w:sz w:val="28"/>
          <w:szCs w:val="28"/>
          <w:lang w:val="en-US"/>
        </w:rPr>
        <w:t>news</w:t>
      </w:r>
      <w:r>
        <w:rPr>
          <w:spacing w:val="-2"/>
          <w:sz w:val="28"/>
          <w:szCs w:val="28"/>
        </w:rPr>
        <w:t>» и размещению на официальном сайте Мэрии города Грозного.</w:t>
      </w:r>
    </w:p>
    <w:p>
      <w:pPr>
        <w:pStyle w:val="Normal"/>
        <w:spacing w:lineRule="auto" w:line="27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-2" w:hanging="0"/>
        <w:rPr>
          <w:sz w:val="28"/>
          <w:szCs w:val="28"/>
        </w:rPr>
      </w:pPr>
      <w:r>
        <w:rPr>
          <w:sz w:val="28"/>
          <w:szCs w:val="28"/>
        </w:rPr>
        <w:t xml:space="preserve">Мэр города Грозного                                             </w:t>
        <w:tab/>
        <w:t xml:space="preserve">             </w:t>
        <w:tab/>
        <w:t>Х-М.Ш. Кадыров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87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24"/>
        <w:gridCol w:w="3408"/>
        <w:gridCol w:w="4547"/>
      </w:tblGrid>
      <w:tr>
        <w:trPr>
          <w:trHeight w:val="2394" w:hRule="atLeast"/>
        </w:trPr>
        <w:tc>
          <w:tcPr>
            <w:tcW w:w="2924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  <w:t>Проект вносит: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  <w:t>___________________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Заместитель Мэра -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начальник Департамента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образования 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З.М. Ахматов </w:t>
            </w:r>
          </w:p>
        </w:tc>
      </w:tr>
      <w:tr>
        <w:trPr>
          <w:trHeight w:val="2092" w:hRule="atLeast"/>
        </w:trPr>
        <w:tc>
          <w:tcPr>
            <w:tcW w:w="2924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  <w:t>Проект визируют:</w:t>
            </w:r>
          </w:p>
        </w:tc>
        <w:tc>
          <w:tcPr>
            <w:tcW w:w="340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  <w:t>____________________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</w:t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Заместитель Мэра – руководитель аппарата </w:t>
              <w:br/>
              <w:t>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А.Б. Бакаев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Заместитель Мэра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Ш.Ю. Адаев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Председатель Комитета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имущественных и земельных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отношений 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Р.Т. Митаев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И.о. начальника департамента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финансов 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М-Б.Р. Нунаев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2688" w:hRule="atLeast"/>
        </w:trPr>
        <w:tc>
          <w:tcPr>
            <w:tcW w:w="2924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  <w:t>____________________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454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И.о. директора департамента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правового обеспечения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 xml:space="preserve">и кадровой политики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З.А. Магомадов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en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65" w:leader="none"/>
        </w:tabs>
        <w:jc w:val="both"/>
        <w:rPr/>
      </w:pPr>
      <w:r>
        <w:rPr/>
        <w:t>Адресаты рассылки: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 xml:space="preserve">Департамент образования Мэрии г. Грозного.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>Юридический отдел Мэрии г. Грозного.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>Комитет имущественных и земельных отношений Мэрии г. Грозного.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>Департамент финансов Мэрии г. Грозного.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>Соцотдел Мэрии г. Грозного.</w:t>
      </w:r>
    </w:p>
    <w:p>
      <w:pPr>
        <w:pStyle w:val="Normal"/>
        <w:rPr/>
      </w:pPr>
      <w:r>
        <w:rPr/>
      </w:r>
    </w:p>
    <w:p>
      <w:pPr>
        <w:pStyle w:val="Normal"/>
        <w:ind w:star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</w:t>
      </w:r>
    </w:p>
    <w:p>
      <w:pPr>
        <w:pStyle w:val="Normal"/>
        <w:ind w:start="1416" w:firstLine="708"/>
        <w:jc w:val="center"/>
        <w:rPr/>
      </w:pPr>
      <w:r>
        <w:rPr>
          <w:sz w:val="28"/>
          <w:szCs w:val="28"/>
        </w:rPr>
        <w:t>Мэрии г. Грозного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ab/>
        <w:tab/>
        <w:t>от «__» _______ 2022 года     № 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о Центре выявления и поддержки одаренных детей г. Грозного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«Малая академия»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1.1. Настоящее положение о муниципальном центре выявления и поддержки одаренных детей «Малая академия» (далее - Положение) определяет цели, задачи и функции муниципального центра выявления и поддержки одаренных детей «Малая академия» и организацию его деятельности.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Центр выявления и поддержки одаренных детей г. Грозного «Малая Академия» (далее — Центр) является площадкой по выявлению проявляющих выдающиеся способности детей и молодежи, проживающих на территории города Грозного, по сопровождению и мониторингу их дальнейшего развития.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1.3. Центр является структурным подразделением муниципального бюджетного учреждения «Центр развития детского (юношеского) технического творчества»   г. Грозного (далее - Учреждение).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1.4. В своей деятельности Центр руководствуется Федеральным законом              от 29 декабря 2012 года № 273-ФЗ «Об образовании в Российской Федерации», иными нормативными правовыми актами Российской Федерации, нормативными правовыми актами Чеченской Республики, муниципальными нормативными правовыми актами, Уставом Учреждения и настоящим Положением. </w:t>
      </w:r>
    </w:p>
    <w:p>
      <w:pPr>
        <w:pStyle w:val="Normal"/>
        <w:spacing w:lineRule="auto" w:line="276" w:before="24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Цели, задачи, функции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целями деятельности Центра являются: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выявление проявляющих выдающиеся способности детей и молодежи, проживающих на территории города Грозного, сопровождение и мониторинг их дальнейшего развития;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индивидуальное сопровождение детей и молодежи, чьи достижения попали в муниципальный, региональный и федеральный реестр одаренных детей;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3) координация, организация и проведение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разработка и реализация образовательных программ для детей и молодежи, проявивших выдающиеся способности;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индивидуальной работы с детьми и молодежью, проявившими выдающиеся способности, по формированию и развитию их познавательных интересов, построению индивидуальных образовательных маршрутов, в том числе тьюторской и (или) тренерской поддержки;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организация сотрудничества с образовательными организациями среднего профессионального и высшего профессионального образования, с образовательными организациями, организациями культуры и спорта, общественными организациями, осуществляющими свою деятельность на территории города Грозного для обеспечения сопровождения и дальнейшего развития детей и молодежи, проявивших выдающиеся способности;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информирование общественности о целях и задачах работы с проявившими выдающиеся способности детьми и молодежью, возможностях по развитию их талантов и способностей на территории города Грозного;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иная деятельность, направленная на развитие системы выявления, сопровождения и развития, проявивших выдающиеся способности детей и молодежи города Грозного.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деятельности Центра являются: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консолидация ресурсов промышленных предприятий, научных и образовательных организаций, организаций культуры и спорта, иных организаций, работающих с проявившими выдающиеся способности детьми и молодежью, организаторов мероприятий, способствующих их выявлению, сопровождению и мониторингу их развития;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реализация мероприятий по выявлению проявляющих выдающиеся способности детей и молодежи, проживающих на территории города Грозного, сопровождению и мониторингу их дальнейшего развития в первую очередь через реализацию дополнительных общеобразовательных программ;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и дальнейшая реализация образовательных программ, в том числе в формате интенсивных профильных образовательных программ, с использованием собственной (переданной в управление) инфраструктурой и программ с использованием дистанционных образовательных технологий, и электронного обучения;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в формировании муниципальной образовательной политики в городе Грозном развития таланта в соответствии с приоритетами Стратегии научно-технологического развития Российской Федерации, национального проекта «Образование», Стратегии развития воспитания, Стратегии государственной культурной политики и Концепции подготовки спортивного резерва;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взаимодействие с индустриальными и технологическими компаниями, научными и образовательными организациями, организациями культуры и спорта, общественными организациями, осуществляющими свою деятельность на территории города Грозного, в том числе посредством реализации образовательных программ в сетевой форме, сопровождение и дальнейшее развитие проявивших выдающиеся способности детей и молодежи, организация стажировок, практик для них, а также содействие в их трудоустройстве после получения профессионального образования;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6) создание и развитие информационных ресурсов для проявивших выдающиеся способности детей и молодежи, а также работающих с ними педагогических работников;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 анализ данных и разработка предложений по индивидуальному развитию детей и молодежи, проявивших выдающиеся способности, включая сбор информации о победителях и призерах олимпиад, конкурсов и иных мероприятий, а также данных о достижениях детей, сведения о которых включены в государственный информационный ресурс о детях, проявивших выдающиеся способности и (или) получателях грантов Президента Российской Федерации, а также выпускниках Образовательного центра «Сириус»;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8) создание инфраструктуры для дальнейшего развития образовательных программ для проявивших выдающиеся способности детей и молодежи;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анализ, обобщение и формирование лучших практик работы с детьми, в том числе распространение опыта реализации дополнительных общеобразовательных программ, других образовательных программ на территории города Грозного;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мониторинг и формирование сводной аналитической отчетности о реализации в городе Грозном мер по выявлению детей и молодежи, проявивших выдающиеся способности, сопровождению и мониторингу их дальнейшего развития;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11) обмен опытом по выявлению, поддержке, сопровождению и развитию, проявивших выдающиеся способности детей и молодежи с муниципальным и региональным центром.</w:t>
      </w:r>
    </w:p>
    <w:p>
      <w:pPr>
        <w:pStyle w:val="Normal"/>
        <w:spacing w:lineRule="auto" w:line="276" w:before="24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Основные направления (виды) деятельности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Реализация дополнительных образовательных программ для детей.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и проведение общественно значимых мероприятий в сфере образования, науки, культуры и спорта.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3.3. Участие в консолидация федеральных, региональных и муниципальных научных, образовательных, финансовых ресурсов, необходимых для создания и реализации образовательных программ для одарённых детей, молодежи (в рамках конкурсных образовательных, фестивальных и научно-популярных программ и др.), а также программ по их последующему сопровождению.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 Создание и развитие межрегиональной партнёрской сети для реализации программ дальнейшего сопровождения одарённых детей, содействие становлению волонтёрских практик.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Обеспечение реализации государственной политики в сфере образования в соответствии с научно-технологическими вызовами и приоритетами Стратегии научно-технологического развития Российской Федерации на территории города Грозного.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Организация участия обучающихся, освоивших образовательные программы Центра (далее - выпускники центра), в особо значимых образовательных программах, проводимых Образовательным центром «Сириус», информация о которых размещается на его официальном сайте в информационно-телекоммуникационной сети «Интернет».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Участие в создании и развитии ресурсной базы для дальнейшего развития межрегиональных образовательных программ для одаренных детей по направлениям «Наука», «Спорт», «Искусство».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3.8. Координация всех участников муниципальной сети выявления и поддержки детей.</w:t>
      </w:r>
    </w:p>
    <w:p>
      <w:pPr>
        <w:pStyle w:val="Normal"/>
        <w:spacing w:lineRule="auto" w:line="276" w:before="24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VI. Организация деятельности Центра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Руководитель Центра: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общее руководство Центром;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Центр в государственных, муниципальных, и иных органах, общественных организациях по доверенности;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сохранность и рациональное использование материально-технической базы Центра;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организует учебный процесс в Центре;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внедрения инноваций и реализации инициатив, направленных на повышение качества образования;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обеспечивает организационно-техническое сопровождение деятельности Экспертного совета по экспертизе образовательных программ, направленных на выявление, сопровождение и развитие проявивших выдающиеся способности детей;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7) отвечает за предоставление отчетности и иной информации по работе Центра;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привлекает партнеров к участию в образовательном процессе Центра в рамках сетевого взаимодействия;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подбор компетентных, квалифицированных кадров для Центра и представляет их кандидатуру для назначения руководителю Учреждения;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обеспечивает получение педагогическими работниками Центра необходимых компетенций, их участие в федеральных и иных образовательных программах, проектах, мероприятиях по обмену опытом;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обеспечивает освещение деятельности центра, организует проведение проектных олимпиад, хакатонов, и других конкурсных мероприятий, развивающих навыки в разных областях разработки в процессе командной работы над проектами, на базе Центра в информационно-коммуникационной сети «Интернет».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Структура и штатное расписание Центра утверждается руководителем Учреждения.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4.3. Содержание обучения и организация учебного процесса в Центре регламентируется учебными планами, образовательными программами и учебно-методическими материалами по соответствующим направлениям, реализуемым Центром, с учетом требований действующего законодательства.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849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5z0">
    <w:name w:val="WW8Num5z0"/>
    <w:qFormat/>
    <w:rPr>
      <w:rFonts w:ascii="Times New Roman" w:hAnsi="Times New Roman" w:cs="Times New Roman"/>
      <w:b/>
      <w:sz w:val="22"/>
    </w:rPr>
  </w:style>
  <w:style w:type="character" w:styleId="WW8Num5z1">
    <w:name w:val="WW8Num5z1"/>
    <w:qFormat/>
    <w:rPr>
      <w:rFonts w:ascii="Times New Roman" w:hAnsi="Times New Roman" w:cs="Times New Roman"/>
      <w:sz w:val="22"/>
      <w:u w:val="single"/>
    </w:rPr>
  </w:style>
  <w:style w:type="character" w:styleId="WW8Num5z2">
    <w:name w:val="WW8Num5z2"/>
    <w:qFormat/>
    <w:rPr>
      <w:rFonts w:ascii="Times New Roman" w:hAnsi="Times New Roman" w:cs="Times New Roman"/>
      <w:i/>
      <w:sz w:val="22"/>
      <w:u w:val="single"/>
    </w:rPr>
  </w:style>
  <w:style w:type="character" w:styleId="WW8Num5z3">
    <w:name w:val="WW8Num5z3"/>
    <w:qFormat/>
    <w:rPr>
      <w:rFonts w:ascii="Times New Roman" w:hAnsi="Times New Roman" w:cs="Times New Roman"/>
      <w:i/>
      <w:sz w:val="22"/>
    </w:rPr>
  </w:style>
  <w:style w:type="character" w:styleId="WW8Num5z4">
    <w:name w:val="WW8Num5z4"/>
    <w:qFormat/>
    <w:rPr>
      <w:rFonts w:cs="Times New Roman"/>
    </w:rPr>
  </w:style>
  <w:style w:type="character" w:styleId="WW8Num6z0">
    <w:name w:val="WW8Num6z0"/>
    <w:qFormat/>
    <w:rPr/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21">
    <w:name w:val="Body Text 21"/>
    <w:basedOn w:val="Normal"/>
    <w:qFormat/>
    <w:pPr>
      <w:widowControl w:val="false"/>
      <w:spacing w:lineRule="atLeast" w:line="240"/>
      <w:jc w:val="both"/>
    </w:pPr>
    <w:rPr>
      <w:szCs w:val="20"/>
    </w:rPr>
  </w:style>
  <w:style w:type="paragraph" w:styleId="Style16">
    <w:name w:val="Абзац списка"/>
    <w:basedOn w:val="Normal"/>
    <w:qFormat/>
    <w:pPr>
      <w:spacing w:before="0" w:after="0"/>
      <w:ind w:start="720" w:hanging="0"/>
      <w:contextualSpacing/>
    </w:pPr>
    <w:rPr>
      <w:sz w:val="28"/>
    </w:rPr>
  </w:style>
  <w:style w:type="paragraph" w:styleId="Style17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LibreOffice/7.3.3.2$Linux_X86_64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2022-03-16T14:54:00Z</dcterms:created>
  <dc:creator>User</dc:creator>
  <dc:description/>
  <cp:keywords/>
  <dc:language>en-US</dc:language>
  <cp:lastModifiedBy>Пользователь</cp:lastModifiedBy>
  <cp:lastPrinted>2022-03-16T11:50:00Z</cp:lastPrinted>
  <dcterms:modified xsi:type="dcterms:W3CDTF">2022-05-23T16:35:00Z</dcterms:modified>
  <cp:revision>16</cp:revision>
  <dc:subject/>
  <dc:title>С П И С О К</dc:title>
</cp:coreProperties>
</file>